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52" w:rsidRDefault="00C73852" w:rsidP="00C73852">
      <w:pPr>
        <w:rPr>
          <w:b/>
          <w:sz w:val="36"/>
        </w:rPr>
      </w:pPr>
      <w:bookmarkStart w:id="0" w:name="_GoBack"/>
      <w:bookmarkEnd w:id="0"/>
      <w:r w:rsidRPr="00C73852">
        <w:rPr>
          <w:b/>
          <w:sz w:val="36"/>
        </w:rPr>
        <w:t xml:space="preserve">References </w:t>
      </w:r>
    </w:p>
    <w:p w:rsidR="00C73852" w:rsidRPr="00C73852" w:rsidRDefault="00A20F1D" w:rsidP="00C73852">
      <w:pPr>
        <w:rPr>
          <w:b/>
        </w:rPr>
      </w:pPr>
      <w:r>
        <w:rPr>
          <w:noProof/>
          <w:lang w:eastAsia="en-GB"/>
        </w:rPr>
        <mc:AlternateContent>
          <mc:Choice Requires="wps">
            <w:drawing>
              <wp:anchor distT="0" distB="0" distL="114300" distR="114300" simplePos="0" relativeHeight="251659264" behindDoc="0" locked="0" layoutInCell="1" allowOverlap="1" wp14:anchorId="62967EFB" wp14:editId="429245CA">
                <wp:simplePos x="0" y="0"/>
                <wp:positionH relativeFrom="column">
                  <wp:posOffset>0</wp:posOffset>
                </wp:positionH>
                <wp:positionV relativeFrom="paragraph">
                  <wp:posOffset>379730</wp:posOffset>
                </wp:positionV>
                <wp:extent cx="1828800" cy="1828800"/>
                <wp:effectExtent l="0" t="0" r="15240" b="120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A20F1D" w:rsidRPr="00A20F1D" w:rsidRDefault="00A20F1D">
                            <w:pPr>
                              <w:rPr>
                                <w:color w:val="FF0000"/>
                              </w:rPr>
                            </w:pPr>
                            <w:r w:rsidRPr="00A20F1D">
                              <w:rPr>
                                <w:color w:val="FF0000"/>
                              </w:rPr>
                              <w:t>The density of viable bacteria in a culture can be estimated by creating serial dilutions, plating out and counting colonies (</w:t>
                            </w:r>
                            <w:proofErr w:type="spellStart"/>
                            <w:r w:rsidRPr="00A20F1D">
                              <w:rPr>
                                <w:color w:val="FF0000"/>
                              </w:rPr>
                              <w:t>Bloggs</w:t>
                            </w:r>
                            <w:proofErr w:type="spellEnd"/>
                            <w:r w:rsidRPr="00A20F1D">
                              <w:rPr>
                                <w:color w:val="FF0000"/>
                              </w:rPr>
                              <w:t>, 2011).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9.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" filled="f" strokeweight=".5pt">
                <v:fill o:detectmouseclick="t"/>
                <v:textbox style="mso-fit-shape-to-text:t">
                  <w:txbxContent>
                    <w:p w:rsidR="00A20F1D" w:rsidRPr="00A20F1D" w:rsidRDefault="00A20F1D">
                      <w:pPr>
                        <w:rPr>
                          <w:color w:val="FF0000"/>
                        </w:rPr>
                      </w:pPr>
                      <w:r w:rsidRPr="00A20F1D">
                        <w:rPr>
                          <w:color w:val="FF0000"/>
                        </w:rPr>
                        <w:t>The density of viable bacteria in a culture can be estimated by creating serial dilutions, plating out and counting colonies (</w:t>
                      </w:r>
                      <w:proofErr w:type="spellStart"/>
                      <w:r w:rsidRPr="00A20F1D">
                        <w:rPr>
                          <w:color w:val="FF0000"/>
                        </w:rPr>
                        <w:t>Bloggs</w:t>
                      </w:r>
                      <w:proofErr w:type="spellEnd"/>
                      <w:r w:rsidRPr="00A20F1D">
                        <w:rPr>
                          <w:color w:val="FF0000"/>
                        </w:rPr>
                        <w:t>, 2011).</w:t>
                      </w:r>
                    </w:p>
                  </w:txbxContent>
                </v:textbox>
                <w10:wrap type="square"/>
              </v:shape>
            </w:pict>
          </mc:Fallback>
        </mc:AlternateContent>
      </w:r>
      <w:r w:rsidR="00C73852" w:rsidRPr="00C73852">
        <w:rPr>
          <w:b/>
        </w:rPr>
        <w:t>Parenthetical (Harvard) system</w:t>
      </w:r>
    </w:p>
    <w:p w:rsidR="00A20F1D" w:rsidRDefault="00A20F1D" w:rsidP="00C73852"/>
    <w:p w:rsidR="00C73852" w:rsidRDefault="00C73852" w:rsidP="00C73852">
      <w:r w:rsidRPr="00C73852">
        <w:t>The parenthetical system looks like this:</w:t>
      </w:r>
    </w:p>
    <w:p w:rsidR="00C73852" w:rsidRPr="00C73852" w:rsidRDefault="00C73852" w:rsidP="00C73852">
      <w:r w:rsidRPr="00C73852">
        <w:t xml:space="preserve">The author(s) and date of the work are included in brackets at the appropriate point in the text. In this case, </w:t>
      </w:r>
      <w:r w:rsidRPr="00A20F1D">
        <w:rPr>
          <w:color w:val="FF0000"/>
        </w:rPr>
        <w:t xml:space="preserve">the list of full references at the end of the document is ordered alphabetically, </w:t>
      </w:r>
      <w:r w:rsidRPr="00C73852">
        <w:t>and the references are not numbered.</w:t>
      </w:r>
    </w:p>
    <w:p w:rsidR="00C73852" w:rsidRPr="00C73852" w:rsidRDefault="00C73852" w:rsidP="00C73852">
      <w:r w:rsidRPr="00C73852">
        <w:t xml:space="preserve">For multi-author works, the full list of names is usually not given in in-text references. Rather, the first name is given followed by ‘et </w:t>
      </w:r>
      <w:proofErr w:type="gramStart"/>
      <w:r w:rsidRPr="00C73852">
        <w:t>al.’.</w:t>
      </w:r>
      <w:proofErr w:type="gramEnd"/>
      <w:r w:rsidRPr="00C73852">
        <w:t xml:space="preserve"> This is commonly done for works with more than three authors.</w:t>
      </w:r>
    </w:p>
    <w:p w:rsidR="00C73852" w:rsidRDefault="00C73852" w:rsidP="00C73852">
      <w:r>
        <w:t xml:space="preserve">While different referencing systems have minor variations in how they present complete references, the basic information provided is always very similar, and based on the principle of providing sufficient information so that the reader can find the information source. </w:t>
      </w:r>
    </w:p>
    <w:p w:rsidR="00C73852" w:rsidRDefault="00C73852" w:rsidP="00C73852">
      <w:r>
        <w:t xml:space="preserve">An overview is given below of standard referencing formats for the types of sources that learners are likely to cite. </w:t>
      </w:r>
    </w:p>
    <w:p w:rsidR="00C73852" w:rsidRPr="00C73852" w:rsidRDefault="00C73852" w:rsidP="00C73852">
      <w:pPr>
        <w:rPr>
          <w:b/>
          <w:sz w:val="28"/>
        </w:rPr>
      </w:pPr>
      <w:r w:rsidRPr="00C73852">
        <w:rPr>
          <w:b/>
          <w:sz w:val="28"/>
        </w:rPr>
        <w:t xml:space="preserve">Books </w:t>
      </w:r>
    </w:p>
    <w:p w:rsidR="00C73852" w:rsidRDefault="00C73852" w:rsidP="00C73852">
      <w:r>
        <w:t xml:space="preserve">General reference format: </w:t>
      </w:r>
    </w:p>
    <w:tbl>
      <w:tblPr>
        <w:tblStyle w:val="TableGrid"/>
        <w:tblW w:w="0" w:type="auto"/>
        <w:tblLook w:val="04A0" w:firstRow="1" w:lastRow="0" w:firstColumn="1" w:lastColumn="0" w:noHBand="0" w:noVBand="1"/>
      </w:tblPr>
      <w:tblGrid>
        <w:gridCol w:w="1882"/>
        <w:gridCol w:w="1800"/>
        <w:gridCol w:w="1930"/>
        <w:gridCol w:w="1965"/>
        <w:gridCol w:w="1665"/>
      </w:tblGrid>
      <w:tr w:rsidR="00E600BA" w:rsidTr="00E600BA">
        <w:tc>
          <w:tcPr>
            <w:tcW w:w="1882" w:type="dxa"/>
          </w:tcPr>
          <w:p w:rsidR="00E600BA" w:rsidRPr="00104CEE" w:rsidRDefault="00E600BA" w:rsidP="00104CEE">
            <w:pPr>
              <w:jc w:val="center"/>
              <w:rPr>
                <w:color w:val="FF0000"/>
                <w:sz w:val="32"/>
              </w:rPr>
            </w:pPr>
            <w:r w:rsidRPr="00104CEE">
              <w:rPr>
                <w:color w:val="FF0000"/>
                <w:sz w:val="32"/>
              </w:rPr>
              <w:t>Authors (year),</w:t>
            </w:r>
          </w:p>
        </w:tc>
        <w:tc>
          <w:tcPr>
            <w:tcW w:w="1800" w:type="dxa"/>
          </w:tcPr>
          <w:p w:rsidR="00E600BA" w:rsidRPr="00104CEE" w:rsidRDefault="00104CEE" w:rsidP="00104CEE">
            <w:pPr>
              <w:jc w:val="center"/>
              <w:rPr>
                <w:color w:val="FF0000"/>
                <w:sz w:val="32"/>
              </w:rPr>
            </w:pPr>
            <w:r>
              <w:rPr>
                <w:color w:val="FF0000"/>
                <w:sz w:val="32"/>
              </w:rPr>
              <w:t>Title</w:t>
            </w:r>
          </w:p>
        </w:tc>
        <w:tc>
          <w:tcPr>
            <w:tcW w:w="1930" w:type="dxa"/>
          </w:tcPr>
          <w:p w:rsidR="00E600BA" w:rsidRPr="00104CEE" w:rsidRDefault="00E600BA" w:rsidP="00104CEE">
            <w:pPr>
              <w:jc w:val="center"/>
              <w:rPr>
                <w:color w:val="FF0000"/>
                <w:sz w:val="32"/>
              </w:rPr>
            </w:pPr>
            <w:r w:rsidRPr="00104CEE">
              <w:rPr>
                <w:color w:val="FF0000"/>
                <w:sz w:val="32"/>
              </w:rPr>
              <w:t>E</w:t>
            </w:r>
            <w:r w:rsidR="00104CEE">
              <w:rPr>
                <w:color w:val="FF0000"/>
                <w:sz w:val="32"/>
              </w:rPr>
              <w:t>dition (if relevant)</w:t>
            </w:r>
          </w:p>
        </w:tc>
        <w:tc>
          <w:tcPr>
            <w:tcW w:w="1965" w:type="dxa"/>
          </w:tcPr>
          <w:p w:rsidR="00E600BA" w:rsidRPr="00104CEE" w:rsidRDefault="00E600BA" w:rsidP="00104CEE">
            <w:pPr>
              <w:jc w:val="center"/>
              <w:rPr>
                <w:color w:val="FF0000"/>
                <w:sz w:val="32"/>
              </w:rPr>
            </w:pPr>
            <w:r w:rsidRPr="00104CEE">
              <w:rPr>
                <w:color w:val="FF0000"/>
                <w:sz w:val="32"/>
              </w:rPr>
              <w:t>P</w:t>
            </w:r>
            <w:r w:rsidR="00104CEE">
              <w:rPr>
                <w:color w:val="FF0000"/>
                <w:sz w:val="32"/>
              </w:rPr>
              <w:t>ublisher’s location</w:t>
            </w:r>
          </w:p>
        </w:tc>
        <w:tc>
          <w:tcPr>
            <w:tcW w:w="1665" w:type="dxa"/>
          </w:tcPr>
          <w:p w:rsidR="00E600BA" w:rsidRPr="00104CEE" w:rsidRDefault="00E600BA" w:rsidP="00104CEE">
            <w:pPr>
              <w:jc w:val="center"/>
              <w:rPr>
                <w:color w:val="FF0000"/>
                <w:sz w:val="32"/>
              </w:rPr>
            </w:pPr>
            <w:r w:rsidRPr="00104CEE">
              <w:rPr>
                <w:color w:val="FF0000"/>
                <w:sz w:val="32"/>
              </w:rPr>
              <w:t>Publisher</w:t>
            </w:r>
          </w:p>
          <w:p w:rsidR="00E600BA" w:rsidRPr="00104CEE" w:rsidRDefault="00E600BA" w:rsidP="00104CEE">
            <w:pPr>
              <w:jc w:val="center"/>
              <w:rPr>
                <w:color w:val="FF0000"/>
                <w:sz w:val="32"/>
              </w:rPr>
            </w:pPr>
          </w:p>
        </w:tc>
      </w:tr>
      <w:tr w:rsidR="00E600BA" w:rsidTr="00104CEE">
        <w:tc>
          <w:tcPr>
            <w:tcW w:w="1882" w:type="dxa"/>
            <w:vAlign w:val="center"/>
          </w:tcPr>
          <w:p w:rsidR="00E600BA" w:rsidRDefault="00E600BA" w:rsidP="00104CEE">
            <w:pPr>
              <w:jc w:val="center"/>
            </w:pPr>
            <w:r>
              <w:t>Roberts, M.B.V. (1986),</w:t>
            </w:r>
          </w:p>
        </w:tc>
        <w:tc>
          <w:tcPr>
            <w:tcW w:w="1800" w:type="dxa"/>
            <w:vAlign w:val="center"/>
          </w:tcPr>
          <w:p w:rsidR="00E600BA" w:rsidRDefault="00E600BA" w:rsidP="00104CEE">
            <w:pPr>
              <w:jc w:val="center"/>
            </w:pPr>
            <w:r>
              <w:t>Biology – A Functional Approach,</w:t>
            </w:r>
          </w:p>
        </w:tc>
        <w:tc>
          <w:tcPr>
            <w:tcW w:w="1930" w:type="dxa"/>
            <w:vAlign w:val="center"/>
          </w:tcPr>
          <w:p w:rsidR="00E600BA" w:rsidRDefault="00E600BA" w:rsidP="00104CEE">
            <w:pPr>
              <w:jc w:val="center"/>
            </w:pPr>
            <w:r>
              <w:t>4th ed.,</w:t>
            </w:r>
          </w:p>
        </w:tc>
        <w:tc>
          <w:tcPr>
            <w:tcW w:w="1965" w:type="dxa"/>
            <w:vAlign w:val="center"/>
          </w:tcPr>
          <w:p w:rsidR="00E600BA" w:rsidRDefault="00E600BA" w:rsidP="00104CEE">
            <w:pPr>
              <w:jc w:val="center"/>
            </w:pPr>
            <w:r>
              <w:t>Cheltenham</w:t>
            </w:r>
          </w:p>
        </w:tc>
        <w:tc>
          <w:tcPr>
            <w:tcW w:w="1665" w:type="dxa"/>
            <w:vAlign w:val="center"/>
          </w:tcPr>
          <w:p w:rsidR="00E600BA" w:rsidRDefault="00E600BA" w:rsidP="00104CEE">
            <w:pPr>
              <w:jc w:val="center"/>
            </w:pPr>
            <w:r>
              <w:t>Nelson Thornes</w:t>
            </w:r>
          </w:p>
          <w:p w:rsidR="00E600BA" w:rsidRDefault="00E600BA" w:rsidP="00104CEE">
            <w:pPr>
              <w:jc w:val="center"/>
            </w:pPr>
          </w:p>
        </w:tc>
      </w:tr>
    </w:tbl>
    <w:p w:rsidR="00E600BA" w:rsidRDefault="00E600BA" w:rsidP="00C73852"/>
    <w:p w:rsidR="00C73852" w:rsidRDefault="00C73852" w:rsidP="00C73852">
      <w:r>
        <w:t>For books that have an editor or editors, include (ed.) or (</w:t>
      </w:r>
      <w:proofErr w:type="spellStart"/>
      <w:proofErr w:type="gramStart"/>
      <w:r>
        <w:t>eds</w:t>
      </w:r>
      <w:proofErr w:type="spellEnd"/>
      <w:proofErr w:type="gramEnd"/>
      <w:r>
        <w:t xml:space="preserve">) after the names. </w:t>
      </w:r>
    </w:p>
    <w:p w:rsidR="00C73852" w:rsidRDefault="00C73852" w:rsidP="00C73852">
      <w:r>
        <w:t xml:space="preserve">If a book does not have named authors or editors, the reference begins with the title, e.g.: </w:t>
      </w:r>
    </w:p>
    <w:p w:rsidR="00C73852" w:rsidRDefault="00C73852" w:rsidP="00C73852">
      <w:r>
        <w:t xml:space="preserve">CLEAPSS Laboratory Handbook (2001), Uxbridge, CLEAPSS School Science Service </w:t>
      </w:r>
    </w:p>
    <w:p w:rsidR="00CC0B98" w:rsidRDefault="00CC0B98" w:rsidP="00C73852"/>
    <w:p w:rsidR="00CC0B98" w:rsidRDefault="00CC0B98" w:rsidP="00C73852"/>
    <w:p w:rsidR="00CC0B98" w:rsidRDefault="00CC0B98" w:rsidP="00C73852"/>
    <w:p w:rsidR="00CC0B98" w:rsidRDefault="00CC0B98" w:rsidP="00C73852"/>
    <w:p w:rsidR="00CC0B98" w:rsidRDefault="00CC0B98" w:rsidP="00C73852"/>
    <w:p w:rsidR="00CC0B98" w:rsidRDefault="00CC0B98" w:rsidP="00C73852"/>
    <w:p w:rsidR="00C73852" w:rsidRPr="00CC0B98" w:rsidRDefault="00C73852" w:rsidP="00C73852">
      <w:pPr>
        <w:rPr>
          <w:sz w:val="32"/>
        </w:rPr>
      </w:pPr>
      <w:r w:rsidRPr="00CC0B98">
        <w:rPr>
          <w:sz w:val="32"/>
        </w:rPr>
        <w:t xml:space="preserve">Journal articles </w:t>
      </w:r>
    </w:p>
    <w:p w:rsidR="00104CEE" w:rsidRDefault="00C73852" w:rsidP="00C73852">
      <w:r>
        <w:t xml:space="preserve">General reference format: </w:t>
      </w:r>
    </w:p>
    <w:tbl>
      <w:tblPr>
        <w:tblStyle w:val="TableGrid"/>
        <w:tblW w:w="0" w:type="auto"/>
        <w:tblLook w:val="04A0" w:firstRow="1" w:lastRow="0" w:firstColumn="1" w:lastColumn="0" w:noHBand="0" w:noVBand="1"/>
      </w:tblPr>
      <w:tblGrid>
        <w:gridCol w:w="1605"/>
        <w:gridCol w:w="1764"/>
        <w:gridCol w:w="1411"/>
        <w:gridCol w:w="1282"/>
        <w:gridCol w:w="1417"/>
        <w:gridCol w:w="1763"/>
      </w:tblGrid>
      <w:tr w:rsidR="00104CEE" w:rsidTr="00104CEE">
        <w:tc>
          <w:tcPr>
            <w:tcW w:w="1605" w:type="dxa"/>
          </w:tcPr>
          <w:p w:rsidR="00104CEE" w:rsidRPr="00104CEE" w:rsidRDefault="00104CEE" w:rsidP="00104CEE">
            <w:pPr>
              <w:jc w:val="center"/>
              <w:rPr>
                <w:color w:val="FF0000"/>
                <w:sz w:val="28"/>
              </w:rPr>
            </w:pPr>
            <w:r w:rsidRPr="00104CEE">
              <w:rPr>
                <w:color w:val="FF0000"/>
                <w:sz w:val="28"/>
              </w:rPr>
              <w:t>Authors (year)</w:t>
            </w:r>
          </w:p>
        </w:tc>
        <w:tc>
          <w:tcPr>
            <w:tcW w:w="1764" w:type="dxa"/>
          </w:tcPr>
          <w:p w:rsidR="00104CEE" w:rsidRPr="00104CEE" w:rsidRDefault="00104CEE" w:rsidP="00104CEE">
            <w:pPr>
              <w:jc w:val="center"/>
              <w:rPr>
                <w:color w:val="FF0000"/>
                <w:sz w:val="28"/>
              </w:rPr>
            </w:pPr>
            <w:r w:rsidRPr="00104CEE">
              <w:rPr>
                <w:color w:val="FF0000"/>
                <w:sz w:val="28"/>
              </w:rPr>
              <w:t>‘Article title’</w:t>
            </w:r>
          </w:p>
        </w:tc>
        <w:tc>
          <w:tcPr>
            <w:tcW w:w="1411" w:type="dxa"/>
          </w:tcPr>
          <w:p w:rsidR="00104CEE" w:rsidRPr="00104CEE" w:rsidRDefault="00104CEE" w:rsidP="00104CEE">
            <w:pPr>
              <w:jc w:val="center"/>
              <w:rPr>
                <w:color w:val="FF0000"/>
                <w:sz w:val="28"/>
              </w:rPr>
            </w:pPr>
            <w:r w:rsidRPr="00104CEE">
              <w:rPr>
                <w:color w:val="FF0000"/>
                <w:sz w:val="28"/>
              </w:rPr>
              <w:t>Journal title</w:t>
            </w:r>
          </w:p>
        </w:tc>
        <w:tc>
          <w:tcPr>
            <w:tcW w:w="1282" w:type="dxa"/>
          </w:tcPr>
          <w:p w:rsidR="00104CEE" w:rsidRPr="00104CEE" w:rsidRDefault="00104CEE" w:rsidP="00104CEE">
            <w:pPr>
              <w:jc w:val="center"/>
              <w:rPr>
                <w:color w:val="FF0000"/>
                <w:sz w:val="28"/>
              </w:rPr>
            </w:pPr>
            <w:r w:rsidRPr="00104CEE">
              <w:rPr>
                <w:color w:val="FF0000"/>
                <w:sz w:val="28"/>
              </w:rPr>
              <w:t>vol. no</w:t>
            </w:r>
          </w:p>
        </w:tc>
        <w:tc>
          <w:tcPr>
            <w:tcW w:w="1417" w:type="dxa"/>
          </w:tcPr>
          <w:p w:rsidR="00104CEE" w:rsidRPr="00104CEE" w:rsidRDefault="00104CEE" w:rsidP="00104CEE">
            <w:pPr>
              <w:jc w:val="center"/>
              <w:rPr>
                <w:color w:val="FF0000"/>
                <w:sz w:val="28"/>
              </w:rPr>
            </w:pPr>
            <w:r w:rsidRPr="00104CEE">
              <w:rPr>
                <w:color w:val="FF0000"/>
                <w:sz w:val="28"/>
              </w:rPr>
              <w:t>issue no</w:t>
            </w:r>
          </w:p>
        </w:tc>
        <w:tc>
          <w:tcPr>
            <w:tcW w:w="1763" w:type="dxa"/>
          </w:tcPr>
          <w:p w:rsidR="00104CEE" w:rsidRPr="00104CEE" w:rsidRDefault="00104CEE" w:rsidP="00104CEE">
            <w:pPr>
              <w:jc w:val="center"/>
              <w:rPr>
                <w:color w:val="FF0000"/>
                <w:sz w:val="28"/>
              </w:rPr>
            </w:pPr>
            <w:r w:rsidRPr="00104CEE">
              <w:rPr>
                <w:color w:val="FF0000"/>
                <w:sz w:val="28"/>
              </w:rPr>
              <w:t>pp. xxx–xxx</w:t>
            </w:r>
          </w:p>
        </w:tc>
      </w:tr>
      <w:tr w:rsidR="00104CEE" w:rsidTr="00104CEE">
        <w:tc>
          <w:tcPr>
            <w:tcW w:w="1605" w:type="dxa"/>
            <w:vAlign w:val="center"/>
          </w:tcPr>
          <w:p w:rsidR="00104CEE" w:rsidRPr="00104CEE" w:rsidRDefault="00104CEE" w:rsidP="00104CEE">
            <w:pPr>
              <w:jc w:val="center"/>
              <w:rPr>
                <w:sz w:val="24"/>
              </w:rPr>
            </w:pPr>
            <w:r w:rsidRPr="00104CEE">
              <w:rPr>
                <w:sz w:val="24"/>
              </w:rPr>
              <w:t xml:space="preserve">Meredith, Jr,   J. E., </w:t>
            </w:r>
            <w:proofErr w:type="spellStart"/>
            <w:r w:rsidRPr="00104CEE">
              <w:rPr>
                <w:sz w:val="24"/>
              </w:rPr>
              <w:t>Fazeli</w:t>
            </w:r>
            <w:proofErr w:type="spellEnd"/>
            <w:r w:rsidRPr="00104CEE">
              <w:rPr>
                <w:sz w:val="24"/>
              </w:rPr>
              <w:t>, B., Schwartz, M. A. (1993),</w:t>
            </w:r>
          </w:p>
        </w:tc>
        <w:tc>
          <w:tcPr>
            <w:tcW w:w="1764" w:type="dxa"/>
            <w:vAlign w:val="center"/>
          </w:tcPr>
          <w:p w:rsidR="00104CEE" w:rsidRPr="00104CEE" w:rsidRDefault="00104CEE" w:rsidP="00104CEE">
            <w:pPr>
              <w:jc w:val="center"/>
              <w:rPr>
                <w:sz w:val="24"/>
              </w:rPr>
            </w:pPr>
            <w:r w:rsidRPr="00104CEE">
              <w:rPr>
                <w:sz w:val="24"/>
              </w:rPr>
              <w:t>‘The extracellular matrix as a cell survival factor’</w:t>
            </w:r>
          </w:p>
        </w:tc>
        <w:tc>
          <w:tcPr>
            <w:tcW w:w="1411" w:type="dxa"/>
            <w:vAlign w:val="center"/>
          </w:tcPr>
          <w:p w:rsidR="00104CEE" w:rsidRPr="00104CEE" w:rsidRDefault="00104CEE" w:rsidP="00104CEE">
            <w:pPr>
              <w:jc w:val="center"/>
              <w:rPr>
                <w:sz w:val="24"/>
              </w:rPr>
            </w:pPr>
            <w:r w:rsidRPr="00104CEE">
              <w:rPr>
                <w:sz w:val="24"/>
              </w:rPr>
              <w:t>Mol. Biol. Cell</w:t>
            </w:r>
          </w:p>
        </w:tc>
        <w:tc>
          <w:tcPr>
            <w:tcW w:w="1282" w:type="dxa"/>
            <w:vAlign w:val="center"/>
          </w:tcPr>
          <w:p w:rsidR="00104CEE" w:rsidRPr="00104CEE" w:rsidRDefault="00104CEE" w:rsidP="00104CEE">
            <w:pPr>
              <w:jc w:val="center"/>
              <w:rPr>
                <w:sz w:val="24"/>
              </w:rPr>
            </w:pPr>
            <w:r w:rsidRPr="00104CEE">
              <w:rPr>
                <w:sz w:val="24"/>
              </w:rPr>
              <w:t>vol. 4</w:t>
            </w:r>
          </w:p>
        </w:tc>
        <w:tc>
          <w:tcPr>
            <w:tcW w:w="1417" w:type="dxa"/>
            <w:vAlign w:val="center"/>
          </w:tcPr>
          <w:p w:rsidR="00104CEE" w:rsidRPr="00104CEE" w:rsidRDefault="00104CEE" w:rsidP="00104CEE">
            <w:pPr>
              <w:jc w:val="center"/>
              <w:rPr>
                <w:sz w:val="24"/>
              </w:rPr>
            </w:pPr>
            <w:r w:rsidRPr="00104CEE">
              <w:rPr>
                <w:sz w:val="24"/>
              </w:rPr>
              <w:t>no 9</w:t>
            </w:r>
          </w:p>
        </w:tc>
        <w:tc>
          <w:tcPr>
            <w:tcW w:w="1763" w:type="dxa"/>
            <w:vAlign w:val="center"/>
          </w:tcPr>
          <w:p w:rsidR="00104CEE" w:rsidRPr="00104CEE" w:rsidRDefault="00104CEE" w:rsidP="00104CEE">
            <w:pPr>
              <w:jc w:val="center"/>
              <w:rPr>
                <w:sz w:val="24"/>
              </w:rPr>
            </w:pPr>
            <w:r w:rsidRPr="00104CEE">
              <w:rPr>
                <w:sz w:val="24"/>
              </w:rPr>
              <w:t>pp. 953–961</w:t>
            </w:r>
          </w:p>
        </w:tc>
      </w:tr>
    </w:tbl>
    <w:p w:rsidR="00CC0B98" w:rsidRDefault="00CC0B98" w:rsidP="00C73852"/>
    <w:p w:rsidR="00CC0B98" w:rsidRDefault="00CC0B98" w:rsidP="00C73852"/>
    <w:p w:rsidR="00C73852" w:rsidRPr="00BE691B" w:rsidRDefault="00C73852" w:rsidP="00C73852">
      <w:pPr>
        <w:rPr>
          <w:b/>
          <w:sz w:val="32"/>
        </w:rPr>
      </w:pPr>
      <w:r w:rsidRPr="00BE691B">
        <w:rPr>
          <w:b/>
          <w:sz w:val="32"/>
        </w:rPr>
        <w:t xml:space="preserve">Websites </w:t>
      </w:r>
    </w:p>
    <w:p w:rsidR="00C73852" w:rsidRDefault="00C73852" w:rsidP="00C73852">
      <w:r>
        <w:t xml:space="preserve">General reference format: </w:t>
      </w:r>
    </w:p>
    <w:p w:rsidR="00C73852" w:rsidRDefault="00C73852" w:rsidP="00C73852">
      <w:pPr>
        <w:rPr>
          <w:sz w:val="28"/>
        </w:rPr>
      </w:pPr>
    </w:p>
    <w:tbl>
      <w:tblPr>
        <w:tblStyle w:val="TableGrid"/>
        <w:tblW w:w="0" w:type="auto"/>
        <w:tblLook w:val="04A0" w:firstRow="1" w:lastRow="0" w:firstColumn="1" w:lastColumn="0" w:noHBand="0" w:noVBand="1"/>
      </w:tblPr>
      <w:tblGrid>
        <w:gridCol w:w="1487"/>
        <w:gridCol w:w="1210"/>
        <w:gridCol w:w="1312"/>
        <w:gridCol w:w="5233"/>
      </w:tblGrid>
      <w:tr w:rsidR="00BE691B" w:rsidTr="00104CEE">
        <w:trPr>
          <w:trHeight w:val="902"/>
        </w:trPr>
        <w:tc>
          <w:tcPr>
            <w:tcW w:w="2310" w:type="dxa"/>
          </w:tcPr>
          <w:p w:rsidR="00BE691B" w:rsidRPr="00BE691B" w:rsidRDefault="00BE691B" w:rsidP="00104CEE">
            <w:pPr>
              <w:jc w:val="center"/>
              <w:rPr>
                <w:color w:val="FF0000"/>
                <w:sz w:val="28"/>
              </w:rPr>
            </w:pPr>
            <w:r w:rsidRPr="00BE691B">
              <w:rPr>
                <w:color w:val="FF0000"/>
                <w:sz w:val="28"/>
              </w:rPr>
              <w:t>Authors (year),</w:t>
            </w:r>
          </w:p>
        </w:tc>
        <w:tc>
          <w:tcPr>
            <w:tcW w:w="2310" w:type="dxa"/>
          </w:tcPr>
          <w:p w:rsidR="00BE691B" w:rsidRPr="00BE691B" w:rsidRDefault="00BE691B" w:rsidP="00104CEE">
            <w:pPr>
              <w:jc w:val="center"/>
              <w:rPr>
                <w:color w:val="FF0000"/>
                <w:sz w:val="28"/>
              </w:rPr>
            </w:pPr>
            <w:r w:rsidRPr="00BE691B">
              <w:rPr>
                <w:color w:val="FF0000"/>
                <w:sz w:val="28"/>
              </w:rPr>
              <w:t>Title.</w:t>
            </w:r>
          </w:p>
        </w:tc>
        <w:tc>
          <w:tcPr>
            <w:tcW w:w="2311" w:type="dxa"/>
          </w:tcPr>
          <w:p w:rsidR="00BE691B" w:rsidRPr="00BE691B" w:rsidRDefault="00BE691B" w:rsidP="00104CEE">
            <w:pPr>
              <w:jc w:val="center"/>
              <w:rPr>
                <w:color w:val="FF0000"/>
                <w:sz w:val="28"/>
              </w:rPr>
            </w:pPr>
            <w:r w:rsidRPr="00BE691B">
              <w:rPr>
                <w:color w:val="FF0000"/>
                <w:sz w:val="28"/>
              </w:rPr>
              <w:t>[online]</w:t>
            </w:r>
          </w:p>
        </w:tc>
        <w:tc>
          <w:tcPr>
            <w:tcW w:w="2311" w:type="dxa"/>
          </w:tcPr>
          <w:p w:rsidR="00BE691B" w:rsidRPr="00BE691B" w:rsidRDefault="00BE691B" w:rsidP="00104CEE">
            <w:pPr>
              <w:jc w:val="center"/>
              <w:rPr>
                <w:color w:val="FF0000"/>
                <w:sz w:val="28"/>
              </w:rPr>
            </w:pPr>
            <w:r w:rsidRPr="00BE691B">
              <w:rPr>
                <w:color w:val="FF0000"/>
                <w:sz w:val="28"/>
              </w:rPr>
              <w:t>Last accessed date: URL</w:t>
            </w:r>
          </w:p>
        </w:tc>
      </w:tr>
      <w:tr w:rsidR="00BE691B" w:rsidRPr="00BE691B" w:rsidTr="00BE691B">
        <w:tc>
          <w:tcPr>
            <w:tcW w:w="2310" w:type="dxa"/>
          </w:tcPr>
          <w:p w:rsidR="00BE691B" w:rsidRPr="00BE691B" w:rsidRDefault="00BE691B" w:rsidP="00C73852">
            <w:pPr>
              <w:rPr>
                <w:sz w:val="36"/>
              </w:rPr>
            </w:pPr>
            <w:proofErr w:type="spellStart"/>
            <w:r w:rsidRPr="00BE691B">
              <w:rPr>
                <w:sz w:val="28"/>
              </w:rPr>
              <w:t>Goldacre</w:t>
            </w:r>
            <w:proofErr w:type="spellEnd"/>
            <w:r w:rsidRPr="00BE691B">
              <w:rPr>
                <w:sz w:val="28"/>
              </w:rPr>
              <w:t>, B</w:t>
            </w:r>
          </w:p>
        </w:tc>
        <w:tc>
          <w:tcPr>
            <w:tcW w:w="2310" w:type="dxa"/>
          </w:tcPr>
          <w:p w:rsidR="00BE691B" w:rsidRPr="00BE691B" w:rsidRDefault="00BE691B" w:rsidP="00C73852">
            <w:pPr>
              <w:rPr>
                <w:sz w:val="36"/>
              </w:rPr>
            </w:pPr>
            <w:r w:rsidRPr="00BE691B">
              <w:rPr>
                <w:sz w:val="28"/>
              </w:rPr>
              <w:t>The stigma gene.</w:t>
            </w:r>
          </w:p>
        </w:tc>
        <w:tc>
          <w:tcPr>
            <w:tcW w:w="2311" w:type="dxa"/>
          </w:tcPr>
          <w:p w:rsidR="00BE691B" w:rsidRPr="00BE691B" w:rsidRDefault="00BE691B" w:rsidP="00C73852">
            <w:pPr>
              <w:rPr>
                <w:sz w:val="36"/>
              </w:rPr>
            </w:pPr>
            <w:r w:rsidRPr="00BE691B">
              <w:rPr>
                <w:sz w:val="28"/>
              </w:rPr>
              <w:t>[online]</w:t>
            </w:r>
          </w:p>
        </w:tc>
        <w:tc>
          <w:tcPr>
            <w:tcW w:w="2311" w:type="dxa"/>
          </w:tcPr>
          <w:p w:rsidR="00BE691B" w:rsidRPr="00BE691B" w:rsidRDefault="00BE691B" w:rsidP="00C73852">
            <w:pPr>
              <w:rPr>
                <w:sz w:val="28"/>
              </w:rPr>
            </w:pPr>
            <w:r w:rsidRPr="00BE691B">
              <w:rPr>
                <w:sz w:val="28"/>
              </w:rPr>
              <w:t>Last accessed 4 April 2015:</w:t>
            </w:r>
          </w:p>
          <w:p w:rsidR="00BE691B" w:rsidRPr="00BE691B" w:rsidRDefault="00BE691B" w:rsidP="00C73852">
            <w:pPr>
              <w:rPr>
                <w:sz w:val="36"/>
              </w:rPr>
            </w:pPr>
            <w:r w:rsidRPr="00BE691B">
              <w:rPr>
                <w:sz w:val="28"/>
              </w:rPr>
              <w:t>http://www.badscience.net/2010/10/pride-and-prejudice/</w:t>
            </w:r>
          </w:p>
        </w:tc>
      </w:tr>
    </w:tbl>
    <w:p w:rsidR="00BE691B" w:rsidRPr="00BE691B" w:rsidRDefault="00BE691B" w:rsidP="00C73852">
      <w:pPr>
        <w:rPr>
          <w:sz w:val="36"/>
        </w:rPr>
      </w:pPr>
    </w:p>
    <w:p w:rsidR="00C73852" w:rsidRDefault="00C73852" w:rsidP="00C73852">
      <w:r>
        <w:t xml:space="preserve">For example: </w:t>
      </w:r>
    </w:p>
    <w:p w:rsidR="00C73852" w:rsidRPr="00077308" w:rsidRDefault="00C73852" w:rsidP="00C73852">
      <w:pPr>
        <w:rPr>
          <w:vanish/>
          <w:specVanish/>
        </w:rPr>
      </w:pPr>
      <w:r>
        <w:t xml:space="preserve">Webpages and online resources frequently do not have individual authors. In that case, the name of the organisation is given. </w:t>
      </w:r>
    </w:p>
    <w:p w:rsidR="00E600BA" w:rsidRDefault="00077308" w:rsidP="00C73852">
      <w:r>
        <w:t xml:space="preserve"> </w:t>
      </w:r>
    </w:p>
    <w:p w:rsidR="00C73852" w:rsidRDefault="00C73852" w:rsidP="00C73852">
      <w:r>
        <w:t>Nuffield Foundation (2011), Maintaining and preparing cultures of bacteria and yeasts. [</w:t>
      </w:r>
      <w:proofErr w:type="gramStart"/>
      <w:r>
        <w:t>online</w:t>
      </w:r>
      <w:proofErr w:type="gramEnd"/>
      <w:r>
        <w:t xml:space="preserve">] Last accessed 28 February 2015: http://www.nuffieldfoundation.org/practical-biology/maintaining-and-preparing-cultures-bacteria-and-yeasts </w:t>
      </w:r>
    </w:p>
    <w:p w:rsidR="00C73852" w:rsidRDefault="00C73852" w:rsidP="00C73852">
      <w:r>
        <w:t xml:space="preserve">Similarly, it is often not possible to find the year in which online material or documents were produced. In that case, use the year in which the information was sourced. </w:t>
      </w:r>
    </w:p>
    <w:p w:rsidR="00C73852" w:rsidRDefault="00C73852" w:rsidP="00C73852">
      <w:r>
        <w:t xml:space="preserve">If no author or organisation can be found, reference the website by title. However, in that case due consideration should be given as to whether the website is a trustworthy source! </w:t>
      </w:r>
    </w:p>
    <w:p w:rsidR="00B81ED1" w:rsidRDefault="00B81ED1" w:rsidP="00C73852"/>
    <w:sectPr w:rsidR="00B8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52"/>
    <w:rsid w:val="00077308"/>
    <w:rsid w:val="00104CEE"/>
    <w:rsid w:val="00A20F1D"/>
    <w:rsid w:val="00B81ED1"/>
    <w:rsid w:val="00BE691B"/>
    <w:rsid w:val="00C73852"/>
    <w:rsid w:val="00CC0B98"/>
    <w:rsid w:val="00E600BA"/>
    <w:rsid w:val="00FC7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dcterms:created xsi:type="dcterms:W3CDTF">2016-12-01T10:22:00Z</dcterms:created>
  <dcterms:modified xsi:type="dcterms:W3CDTF">2016-12-01T10:22:00Z</dcterms:modified>
</cp:coreProperties>
</file>